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63B88" w:rsidRPr="00E63B88" w:rsidRDefault="00E63B88" w:rsidP="00E63B88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E63B88">
        <w:rPr>
          <w:b/>
          <w:bCs/>
          <w:color w:val="333333"/>
          <w:sz w:val="28"/>
          <w:szCs w:val="28"/>
        </w:rPr>
        <w:t>Особенности приема на работу бывших государственных служащих</w:t>
      </w:r>
    </w:p>
    <w:bookmarkEnd w:id="0"/>
    <w:p w:rsidR="00E63B88" w:rsidRPr="00E63B88" w:rsidRDefault="00E63B88" w:rsidP="00E63B8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63B88">
        <w:rPr>
          <w:color w:val="000000"/>
          <w:sz w:val="28"/>
          <w:szCs w:val="28"/>
        </w:rPr>
        <w:t> </w:t>
      </w:r>
      <w:r w:rsidRPr="00E63B88">
        <w:rPr>
          <w:color w:val="FFFFFF"/>
          <w:sz w:val="28"/>
          <w:szCs w:val="28"/>
        </w:rPr>
        <w:t>Текст</w:t>
      </w:r>
    </w:p>
    <w:p w:rsidR="00E63B88" w:rsidRPr="00E63B88" w:rsidRDefault="00E63B88" w:rsidP="00E63B88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Согласно п. 1 Указа Президента РФ от 21.07.2010 № 925 «О мерах по реализации отдельных положений Федерального закона «О противодействии коррупции» указанные требования должны быть выполнены работодателем при приеме на работу граждан РФ, замещавших должности федеральной государственной службы: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E63B88">
        <w:rPr>
          <w:color w:val="333333"/>
          <w:sz w:val="28"/>
          <w:szCs w:val="28"/>
        </w:rPr>
        <w:t>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E63B88">
        <w:rPr>
          <w:color w:val="333333"/>
          <w:sz w:val="28"/>
          <w:szCs w:val="28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органа.</w:t>
      </w:r>
    </w:p>
    <w:p w:rsidR="00E63B88" w:rsidRPr="00E63B88" w:rsidRDefault="00E63B88" w:rsidP="00E63B88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работу.</w:t>
      </w:r>
    </w:p>
    <w:p w:rsidR="00E63B88" w:rsidRPr="00E63B88" w:rsidRDefault="00E63B88" w:rsidP="00E63B88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Уведомлять о приеме бывшего служащего нужно при соблюдении нескольких условий: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- его должность на службе входит в перечень, утвержденный указом Президента РФ от 18.05.2009 № 557, а также в перечни утвержденные в соответствии с п. 4 Указа Президента Российской Федерации от 27 июля 2010 № 925.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- с момента увольнения не прошло двух лет;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-размер оплаты больше 100 тыс. руб. в месяц (только для договоров гражданско-правового характера).</w:t>
      </w:r>
    </w:p>
    <w:p w:rsidR="00E63B88" w:rsidRPr="00E63B88" w:rsidRDefault="00E63B88" w:rsidP="00E63B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Сообщение о заключении договора необходимо отправить в течение 10 календарных дней, начиная со следующего дня после подписания документа или фактического начала работы (ч. 4 ст. 12 Закона № 273-ФЗ).</w:t>
      </w:r>
    </w:p>
    <w:p w:rsidR="00E63B88" w:rsidRPr="00E63B88" w:rsidRDefault="00E63B88" w:rsidP="00E63B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Если на десятый день выпадает выходной или праздник, то можно отправить уведомление в ближайший рабочий день.</w:t>
      </w:r>
    </w:p>
    <w:p w:rsidR="00F029A4" w:rsidRPr="00E63B88" w:rsidRDefault="00F029A4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B36B6" w:rsidRPr="00E63B88" w:rsidRDefault="00CB36B6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1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03AA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4</cp:revision>
  <cp:lastPrinted>2022-06-29T15:45:00Z</cp:lastPrinted>
  <dcterms:created xsi:type="dcterms:W3CDTF">2023-06-08T07:25:00Z</dcterms:created>
  <dcterms:modified xsi:type="dcterms:W3CDTF">2023-06-20T10:06:00Z</dcterms:modified>
</cp:coreProperties>
</file>